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widowControl/>
        <w:jc w:val="left"/>
        <w:rPr>
          <w:rFonts w:hint="eastAsia" w:ascii="宋体" w:hAnsi="宋体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kern w:val="1"/>
          <w:sz w:val="24"/>
        </w:rPr>
        <w:t xml:space="preserve">　TS-JLCL-20230519-031 </w:t>
      </w:r>
      <w:r>
        <w:rPr>
          <w:rFonts w:hint="eastAsia" w:ascii="仿宋_GB2312" w:hAnsi="宋体" w:eastAsia="仿宋_GB2312" w:cs="仿宋"/>
          <w:kern w:val="1"/>
          <w:sz w:val="24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pStyle w:val="2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沪昆高速金鱼石至醴陵段扩容工程项目经理部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TS-JLCL-20230519-031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ZmY3YTFiY2U5YmQ4OWIxMzgxNDQxNzA5NTkyNmQifQ=="/>
    <w:docVar w:name="KSO_WPS_MARK_KEY" w:val="f7531771-fc5a-4171-8827-21bed0e62e3b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4767F0"/>
    <w:rsid w:val="0049540F"/>
    <w:rsid w:val="00573023"/>
    <w:rsid w:val="006F788C"/>
    <w:rsid w:val="00847C40"/>
    <w:rsid w:val="00883D7E"/>
    <w:rsid w:val="00926275"/>
    <w:rsid w:val="00986497"/>
    <w:rsid w:val="00B96086"/>
    <w:rsid w:val="00C84604"/>
    <w:rsid w:val="00C856C6"/>
    <w:rsid w:val="00CB60F3"/>
    <w:rsid w:val="00EB5E44"/>
    <w:rsid w:val="00EE22BB"/>
    <w:rsid w:val="01B91CF5"/>
    <w:rsid w:val="055E53F9"/>
    <w:rsid w:val="07EB7B9F"/>
    <w:rsid w:val="08E36268"/>
    <w:rsid w:val="0EEC2E87"/>
    <w:rsid w:val="10B36A6E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B514F5"/>
    <w:rsid w:val="262D38F9"/>
    <w:rsid w:val="285C3EA0"/>
    <w:rsid w:val="2BF56F08"/>
    <w:rsid w:val="2D3B51F9"/>
    <w:rsid w:val="2DB047E5"/>
    <w:rsid w:val="2F5E7045"/>
    <w:rsid w:val="30C11977"/>
    <w:rsid w:val="316024E0"/>
    <w:rsid w:val="32C92B5B"/>
    <w:rsid w:val="34C50ABF"/>
    <w:rsid w:val="361D2231"/>
    <w:rsid w:val="36A22F3A"/>
    <w:rsid w:val="372873CB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5AE1B88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E3C1E7C"/>
    <w:rsid w:val="7E82741C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607</Words>
  <Characters>658</Characters>
  <Lines>7</Lines>
  <Paragraphs>1</Paragraphs>
  <TotalTime>5</TotalTime>
  <ScaleCrop>false</ScaleCrop>
  <LinksUpToDate>false</LinksUpToDate>
  <CharactersWithSpaces>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尛漾児</cp:lastModifiedBy>
  <dcterms:modified xsi:type="dcterms:W3CDTF">2023-05-23T00:20:07Z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9436AFB84D844A2F8811EA0ED39C6127</vt:lpwstr>
  </property>
</Properties>
</file>